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Times New Roman" w:hAnsi="Times New Roman" w:eastAsia="黑体"/>
          <w:bCs/>
          <w:sz w:val="30"/>
          <w:szCs w:val="30"/>
          <w:lang w:eastAsia="zh-CN"/>
        </w:rPr>
        <w:t>当代建筑思潮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eastAsia="黑体"/>
                <w:sz w:val="21"/>
                <w:szCs w:val="21"/>
                <w:lang w:val="en-US" w:eastAsia="zh-CN"/>
              </w:rPr>
              <w:t>Contemporary Ideology of Architecture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ARTE1147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本科生、研究生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申绍杰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2021.0625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自编</w:t>
            </w:r>
            <w:r>
              <w:rPr>
                <w:rFonts w:hint="eastAsia" w:ascii="宋体" w:hAnsi="宋体" w:eastAsia="宋体"/>
                <w:lang w:val="en-US" w:eastAsia="zh-CN"/>
              </w:rPr>
              <w:t>PPT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  <w:r>
        <w:rPr>
          <w:rFonts w:hint="eastAsia" w:hAnsi="宋体" w:cs="宋体"/>
        </w:rPr>
        <w:t>（四号黑体）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eastAsia="zh-CN"/>
        </w:rPr>
        <w:t>引导学生对当代建筑学的的思潮流派有专业深度的了解。让学生认识当代建筑思潮背后的文化背景；了解其他学科对建筑美学的影响；对于建筑学的发展、沿革有概念性的认识；学会用比较专业的视野观察和思考周围的建筑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eastAsia="zh-CN"/>
        </w:rPr>
        <w:t>通过课程的学习，要求学生掌握以下内容：现代主义与工业化之间的关系；了解城市建筑学，其发展来源、代表作品、任务极其学术贡献；基本搞清楚现象学的哲学起源，具备基础的思维理解，能够搞清楚现象学的感官关照；能够了解消费主义对都市空间的影响；了解库哈斯极其全球化思维极其对现代主义的批判；地域主义及批判的地域主义之间的不同，了解批判地域主义的一些要点；能够充分认识建构之美，了解建构文化的独特本质极其在建筑学中的核心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2" w:firstLineChars="200"/>
        <w:outlineLvl w:val="9"/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-SA"/>
        </w:rPr>
        <w:t>课程目标2：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default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通过前期理论讲授，让学生分别从现代流动空间、类型学、现象学、建构等四个方面，挑选一个理念展开设计，通过练习和操作、深入理解特定建筑思潮再技术层面的方法及内在特征。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6类建筑思潮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1-6章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培养目标中“具有较高的人文素质与文化修养”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毕业要求</w:t>
            </w:r>
            <w:r>
              <w:rPr>
                <w:rFonts w:hint="eastAsia" w:hAnsi="宋体" w:cs="宋体"/>
                <w:lang w:val="en-US" w:eastAsia="zh-CN"/>
              </w:rPr>
              <w:t>3-2“了解当代主要建筑理论及代表人物与作品”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eastAsia="zh-CN"/>
              </w:rPr>
              <w:t>特定思潮的设计操作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7-12章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毕业要求</w:t>
            </w:r>
            <w:r>
              <w:rPr>
                <w:rFonts w:hint="eastAsia" w:hAnsi="宋体" w:cs="宋体"/>
                <w:lang w:val="en-US" w:eastAsia="zh-CN"/>
              </w:rPr>
              <w:t>6-3</w:t>
            </w:r>
            <w:r>
              <w:rPr>
                <w:rFonts w:hint="eastAsia" w:hAnsi="宋体" w:cs="宋体"/>
                <w:lang w:eastAsia="zh-CN"/>
              </w:rPr>
              <w:t>“具有一定的国际视野，能够在跨文化背景下进行沟通和交流”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/>
          <w:b/>
          <w:sz w:val="24"/>
          <w:szCs w:val="24"/>
          <w:lang w:eastAsia="zh-CN"/>
        </w:rPr>
        <w:t>现代主义的诞生及其起源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教学目标：现代主义诞生的及其起源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：现代主义和设计之间的关系；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为什么现代主义诞生和工厂的关系密切？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了解工业革命背景；古典建筑所面临的矛盾；现代艺术的影响；功能主义与工厂、流水线；现代主义与工业化的纠葛；新美学的诞生。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：讲授及讨论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：讨论、对话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城市建筑学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教学目标：了解城市建筑学及类型学的思想基础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：设计作品的理解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类型学的思考模式和方法；建筑和城市的关系；类型学的性质、内容、特点及研究学习方法；阿尔多罗西极其作品。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：讲授及讨论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：讨论、对话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三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现象学思潮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教学目标：了解现象学的思想基础及发展历程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：现象学的审美基础；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现象学感官感知的强调和综合运用。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现象学运动的发展，历史，背景，及哲学起源。当代建筑美学中的现象学；经典案例分析。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：讲授及讨论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：讨论、对话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四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批判的地域主义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教学目标：了解城概念及其意义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：为何“批判”？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国内地域主义的探索的变迁；中国式建筑的另一发展渠道；批判地域主义的特征、要点。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：讲授及讨论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：讨论、对话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五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建构理论研究实践探索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教学目标：建构的出发点及建构视野下的空间审美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建构美学何以成为建筑美学的核心？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建构文化理论的背景、理论地位和意义；建构的真实性、可操作性、现实性,实例分析建构了理论应用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：讲授及讨论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：讨论、对话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六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章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消费主义与全球化视野下的都市空间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教学目标：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了解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消费主义与全球化视野下的都市空间审美的异质化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：设计作品的理解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库哈斯的理论和说法；背景，《空间的生产》如何认识都市空间的；对当代建筑学的影响；审美取向的变迁。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：讲授及讨论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：讨论、对话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七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-十二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特定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思潮设计方法操作练习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教学目标：对特定理念在运用中进一步深入了解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：设计操作和运用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360" w:lineRule="auto"/>
        <w:ind w:firstLine="420" w:firstLineChars="200"/>
        <w:outlineLvl w:val="9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通过前期理论讲授，让学生分别从现代流动空间、类型学、现象学、建构等四个方面，挑选一个理念展开设计，通过草图练习展开设计，并进行图文加工，完成作业。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：讲授及讨论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：讨论、对话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现代主义的诞生及其起源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城市建筑学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现象学思潮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批判的地域主义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建构理论研究实践的探索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消费主义与全球化视野下的都市空间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eastAsia="zh-CN"/>
              </w:rPr>
              <w:t>七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特定理念的设计方法操作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第一章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现代主义的诞生及其起源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第二章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城市建筑学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现象学思潮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第四章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批判的地域主义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建构理论研究实践的探索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第六章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消费主义与全球化视野下的都市空间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7-12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第七-十二章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特定理念的设计方法操作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设计操作练习；过程型论文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黄宗仪. 都市空间的生产：全球化的上海[J] 台湾社会研究季刊，2004, 53</w:t>
      </w: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包亚明. 现代性与空间的生产. 上海: 上海教育出版社.  2003年</w:t>
      </w:r>
    </w:p>
    <w:p>
      <w:pPr>
        <w:pStyle w:val="3"/>
        <w:numPr>
          <w:ilvl w:val="0"/>
          <w:numId w:val="1"/>
        </w:numPr>
        <w:rPr>
          <w:rStyle w:val="14"/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乔纳森 A诺堡. 建筑与文化认同[J] 世界建筑 2005（6）</w:t>
      </w:r>
    </w:p>
    <w:p>
      <w:pPr>
        <w:pStyle w:val="3"/>
        <w:numPr>
          <w:ilvl w:val="0"/>
          <w:numId w:val="1"/>
        </w:numPr>
        <w:rPr>
          <w:rStyle w:val="14"/>
          <w:rFonts w:hint="eastAsia" w:ascii="宋体" w:hAnsi="宋体" w:eastAsia="宋体" w:cs="宋体"/>
          <w:sz w:val="21"/>
          <w:szCs w:val="21"/>
        </w:rPr>
      </w:pPr>
      <w:r>
        <w:rPr>
          <w:rStyle w:val="14"/>
          <w:rFonts w:hint="eastAsia" w:ascii="宋体" w:hAnsi="宋体" w:eastAsia="宋体" w:cs="宋体"/>
          <w:sz w:val="21"/>
          <w:szCs w:val="21"/>
        </w:rPr>
        <w:t>缪朴，司铃 司然译 亚太城市的公共空间——当前的问题与对策 北京：中国建筑工业出版社. 2007</w:t>
      </w:r>
    </w:p>
    <w:p>
      <w:pPr>
        <w:pStyle w:val="3"/>
        <w:numPr>
          <w:ilvl w:val="0"/>
          <w:numId w:val="1"/>
        </w:numPr>
        <w:rPr>
          <w:rStyle w:val="14"/>
          <w:rFonts w:hint="eastAsia" w:ascii="宋体" w:hAnsi="宋体" w:eastAsia="宋体" w:cs="宋体"/>
          <w:sz w:val="21"/>
          <w:szCs w:val="21"/>
        </w:rPr>
      </w:pPr>
      <w:r>
        <w:rPr>
          <w:rStyle w:val="14"/>
          <w:rFonts w:hint="eastAsia" w:ascii="宋体" w:hAnsi="宋体" w:eastAsia="宋体" w:cs="宋体"/>
          <w:sz w:val="21"/>
          <w:szCs w:val="21"/>
        </w:rPr>
        <w:t xml:space="preserve"> K. 弗兰普顿 现代建筑——一部批判的历史. 北京: 三联书店，2004</w:t>
      </w:r>
    </w:p>
    <w:p>
      <w:pPr>
        <w:pStyle w:val="3"/>
        <w:numPr>
          <w:ilvl w:val="0"/>
          <w:numId w:val="1"/>
        </w:numPr>
        <w:rPr>
          <w:rStyle w:val="14"/>
          <w:rFonts w:hint="eastAsia" w:ascii="宋体" w:hAnsi="宋体" w:eastAsia="宋体" w:cs="宋体"/>
          <w:sz w:val="21"/>
          <w:szCs w:val="21"/>
        </w:rPr>
      </w:pPr>
      <w:r>
        <w:rPr>
          <w:rStyle w:val="14"/>
          <w:rFonts w:hint="eastAsia" w:ascii="宋体" w:hAnsi="宋体" w:eastAsia="宋体" w:cs="宋体"/>
          <w:sz w:val="21"/>
          <w:szCs w:val="21"/>
        </w:rPr>
        <w:t>J. 雅各布斯, 金衡山译 美国大城市的生与死. 南京:译林出版社，2005</w:t>
      </w:r>
    </w:p>
    <w:p>
      <w:pPr>
        <w:pStyle w:val="3"/>
        <w:numPr>
          <w:ilvl w:val="0"/>
          <w:numId w:val="1"/>
        </w:numPr>
        <w:rPr>
          <w:rStyle w:val="14"/>
          <w:rFonts w:hint="eastAsia" w:ascii="宋体" w:hAnsi="宋体" w:eastAsia="宋体" w:cs="宋体"/>
          <w:sz w:val="21"/>
          <w:szCs w:val="21"/>
        </w:rPr>
      </w:pPr>
      <w:r>
        <w:rPr>
          <w:rStyle w:val="14"/>
          <w:rFonts w:hint="eastAsia" w:ascii="宋体" w:hAnsi="宋体" w:eastAsia="宋体" w:cs="宋体"/>
          <w:sz w:val="21"/>
          <w:szCs w:val="21"/>
          <w:lang w:val="de-DE"/>
        </w:rPr>
        <w:t xml:space="preserve">Rem Koolhaas, Bruce Mau, Hans Werlemann.  </w:t>
      </w:r>
      <w:r>
        <w:rPr>
          <w:rStyle w:val="14"/>
          <w:rFonts w:hint="eastAsia" w:ascii="宋体" w:hAnsi="宋体" w:eastAsia="宋体" w:cs="宋体"/>
          <w:sz w:val="21"/>
          <w:szCs w:val="21"/>
        </w:rPr>
        <w:t xml:space="preserve">S,M,L,XL.  New York: Monacelli Press. 1995 </w:t>
      </w: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Style w:val="14"/>
          <w:rFonts w:hint="eastAsia" w:ascii="宋体" w:hAnsi="宋体" w:eastAsia="宋体" w:cs="宋体"/>
          <w:sz w:val="21"/>
          <w:szCs w:val="21"/>
        </w:rPr>
        <w:t>沈克宁. 批判的地域主义. 建筑师. 2004（5）</w:t>
      </w:r>
    </w:p>
    <w:p>
      <w:pPr>
        <w:pStyle w:val="3"/>
        <w:numPr>
          <w:ilvl w:val="0"/>
          <w:numId w:val="1"/>
        </w:numPr>
        <w:rPr>
          <w:rStyle w:val="14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Lefebvre H. The production of space[M] Oxford: Blackwell,1991</w:t>
      </w:r>
    </w:p>
    <w:p>
      <w:pPr>
        <w:pStyle w:val="3"/>
        <w:numPr>
          <w:ilvl w:val="0"/>
          <w:numId w:val="1"/>
        </w:numPr>
        <w:rPr>
          <w:rStyle w:val="14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4"/>
          <w:rFonts w:hint="eastAsia" w:ascii="宋体" w:hAnsi="宋体" w:eastAsia="宋体" w:cs="宋体"/>
          <w:sz w:val="21"/>
          <w:szCs w:val="21"/>
        </w:rPr>
        <w:t xml:space="preserve">K. 弗兰普顿 </w:t>
      </w:r>
      <w:r>
        <w:rPr>
          <w:rStyle w:val="14"/>
          <w:rFonts w:hint="eastAsia" w:ascii="宋体" w:hAnsi="宋体" w:eastAsia="宋体" w:cs="宋体"/>
          <w:sz w:val="21"/>
          <w:szCs w:val="21"/>
          <w:lang w:eastAsia="zh-CN"/>
        </w:rPr>
        <w:t>建构文化研究</w:t>
      </w:r>
      <w:r>
        <w:rPr>
          <w:rStyle w:val="14"/>
          <w:rFonts w:hint="eastAsia" w:ascii="宋体" w:hAnsi="宋体" w:eastAsia="宋体" w:cs="宋体"/>
          <w:sz w:val="21"/>
          <w:szCs w:val="21"/>
        </w:rPr>
        <w:t>. 北京:</w:t>
      </w:r>
      <w:r>
        <w:rPr>
          <w:rStyle w:val="14"/>
          <w:rFonts w:hint="eastAsia" w:ascii="宋体" w:hAnsi="宋体" w:eastAsia="宋体" w:cs="宋体"/>
          <w:sz w:val="21"/>
          <w:szCs w:val="21"/>
          <w:lang w:eastAsia="zh-CN"/>
        </w:rPr>
        <w:t>建工出版社</w:t>
      </w:r>
      <w:r>
        <w:rPr>
          <w:rStyle w:val="14"/>
          <w:rFonts w:hint="eastAsia" w:ascii="宋体" w:hAnsi="宋体" w:eastAsia="宋体" w:cs="宋体"/>
          <w:sz w:val="21"/>
          <w:szCs w:val="21"/>
        </w:rPr>
        <w:t>，20</w:t>
      </w:r>
      <w:r>
        <w:rPr>
          <w:rStyle w:val="14"/>
          <w:rFonts w:hint="eastAsia" w:ascii="宋体" w:hAnsi="宋体" w:eastAsia="宋体" w:cs="宋体"/>
          <w:sz w:val="21"/>
          <w:szCs w:val="21"/>
          <w:lang w:val="en-US" w:eastAsia="zh-CN"/>
        </w:rPr>
        <w:t>10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课堂理论讲授和讨论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课堂设计方法练习和操作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（一）课程考核与课程目标的对应关系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/>
                <w:lang w:eastAsia="zh-CN"/>
              </w:rPr>
            </w:pPr>
            <w:r>
              <w:rPr>
                <w:rFonts w:hint="eastAsia" w:hAnsi="宋体"/>
                <w:b/>
                <w:lang w:eastAsia="zh-CN"/>
              </w:rPr>
              <w:t>概念的理解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/>
                <w:lang w:eastAsia="zh-CN"/>
              </w:rPr>
            </w:pPr>
            <w:r>
              <w:rPr>
                <w:rFonts w:hint="eastAsia" w:hAnsi="宋体"/>
                <w:b/>
                <w:lang w:eastAsia="zh-CN"/>
              </w:rPr>
              <w:t>提问、讨论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/>
                <w:lang w:eastAsia="zh-CN"/>
              </w:rPr>
            </w:pPr>
            <w:r>
              <w:rPr>
                <w:rFonts w:hint="eastAsia" w:hAnsi="宋体"/>
                <w:b/>
                <w:lang w:eastAsia="zh-CN"/>
              </w:rPr>
              <w:t>特定概念的设计操作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  <w:lang w:eastAsia="zh-CN"/>
              </w:rPr>
              <w:t>设计过程型论文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  <w:r>
        <w:rPr>
          <w:rFonts w:hint="eastAsia" w:ascii="宋体" w:hAnsi="宋体" w:eastAsia="宋体"/>
          <w:szCs w:val="21"/>
        </w:rPr>
        <w:t>（小四号黑体）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  <w:r>
        <w:rPr>
          <w:rFonts w:hint="eastAsia" w:ascii="宋体" w:hAnsi="宋体" w:eastAsia="宋体"/>
        </w:rPr>
        <w:t>（五号宋体）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平时成绩：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eastAsia="zh-CN"/>
        </w:rPr>
        <w:t>设计型论文</w:t>
      </w:r>
      <w:r>
        <w:rPr>
          <w:rFonts w:hint="eastAsia" w:ascii="宋体" w:hAnsi="宋体" w:eastAsia="宋体"/>
        </w:rPr>
        <w:t>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平时成绩总分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40分，成果60分（对概念的理解20分，运用能力40分）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B6475"/>
    <w:multiLevelType w:val="singleLevel"/>
    <w:tmpl w:val="2B2B6475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9B348E2"/>
    <w:multiLevelType w:val="singleLevel"/>
    <w:tmpl w:val="59B348E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mY2RjMTdkMzJhYTcxZmIzYWRmNGEyY2JhYTg4NzEifQ=="/>
  </w:docVars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65A2D49"/>
    <w:rsid w:val="0B446859"/>
    <w:rsid w:val="11CE5073"/>
    <w:rsid w:val="1A040AD6"/>
    <w:rsid w:val="1D7575B3"/>
    <w:rsid w:val="2366086F"/>
    <w:rsid w:val="330126F2"/>
    <w:rsid w:val="470317B3"/>
    <w:rsid w:val="7D5705B8"/>
    <w:rsid w:val="7E43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endnote text"/>
    <w:basedOn w:val="1"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2"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apple-style-spa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34</TotalTime>
  <ScaleCrop>false</ScaleCrop>
  <LinksUpToDate>false</LinksUpToDate>
  <CharactersWithSpaces>1839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菲菲马</cp:lastModifiedBy>
  <cp:lastPrinted>2020-12-24T07:17:00Z</cp:lastPrinted>
  <dcterms:modified xsi:type="dcterms:W3CDTF">2023-11-02T02:20:26Z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A57D7ED4AC9A474FA8BFA064E292202B</vt:lpwstr>
  </property>
</Properties>
</file>