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传统家具设计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Traditional Furniture Design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ARTE1170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专业选修课程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highlight w:val="yellow"/>
              </w:rPr>
            </w:pPr>
            <w:bookmarkStart w:id="1" w:name="_GoBack"/>
            <w:r>
              <w:rPr>
                <w:rFonts w:hint="eastAsia" w:ascii="宋体" w:hAnsi="宋体" w:eastAsia="宋体" w:cs="黑体"/>
                <w:b/>
                <w:bCs/>
                <w:highlight w:val="none"/>
              </w:rPr>
              <w:t>授课对象</w:t>
            </w:r>
            <w:bookmarkEnd w:id="1"/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建筑学</w:t>
            </w:r>
            <w:r>
              <w:rPr>
                <w:rFonts w:hint="eastAsia" w:ascii="宋体" w:hAnsi="宋体" w:eastAsia="宋体"/>
                <w:lang w:val="en-US" w:eastAsia="zh-CN"/>
              </w:rPr>
              <w:t>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黑体"/>
                <w:b/>
                <w:bCs/>
                <w:highlight w:val="none"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1.5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黑体"/>
                <w:b/>
                <w:bCs/>
                <w:highlight w:val="none"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黑体"/>
                <w:b/>
                <w:bCs/>
                <w:highlight w:val="none"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汤恒亮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黑体"/>
                <w:b/>
                <w:bCs/>
                <w:highlight w:val="none"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2023.05.16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  <w:highlight w:val="yellow"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3"/>
        <w:numPr>
          <w:ilvl w:val="0"/>
          <w:numId w:val="0"/>
        </w:numPr>
        <w:spacing w:before="156" w:beforeLines="50" w:after="156" w:afterLines="50"/>
        <w:ind w:firstLine="420" w:firstLineChars="200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该课程内容为</w:t>
      </w:r>
      <w:r>
        <w:rPr>
          <w:rFonts w:hint="eastAsia" w:hAnsi="宋体" w:cs="宋体"/>
          <w:kern w:val="2"/>
          <w:sz w:val="21"/>
          <w:szCs w:val="20"/>
          <w:lang w:val="en-US" w:eastAsia="zh-CN" w:bidi="ar-SA"/>
        </w:rPr>
        <w:t>传统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 xml:space="preserve">家具设计。学习家具设计首先是对专业知识有较清晰的了解，并通过设计不同单元内容的学习，提高素质，带动其它相关专业知识的了解，最终达到综合能力的提高。  </w:t>
      </w:r>
    </w:p>
    <w:p>
      <w:pPr>
        <w:pStyle w:val="3"/>
        <w:numPr>
          <w:ilvl w:val="0"/>
          <w:numId w:val="1"/>
        </w:numPr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课程目标：</w:t>
      </w:r>
    </w:p>
    <w:p>
      <w:pPr>
        <w:pStyle w:val="3"/>
        <w:numPr>
          <w:ilvl w:val="0"/>
          <w:numId w:val="0"/>
        </w:numPr>
        <w:spacing w:before="156" w:beforeLines="50" w:after="156" w:afterLines="50"/>
        <w:rPr>
          <w:rFonts w:hint="default" w:ascii="黑体" w:hAnsi="黑体" w:eastAsia="黑体" w:cs="宋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b/>
          <w:bCs/>
          <w:sz w:val="24"/>
          <w:szCs w:val="24"/>
          <w:lang w:val="en-US" w:eastAsia="zh-CN"/>
        </w:rPr>
        <w:t xml:space="preserve">    课程目标1：</w:t>
      </w:r>
    </w:p>
    <w:p>
      <w:pPr>
        <w:pStyle w:val="3"/>
        <w:numPr>
          <w:ilvl w:val="0"/>
          <w:numId w:val="2"/>
        </w:numPr>
        <w:spacing w:before="156" w:beforeLines="50" w:after="156" w:afterLines="50"/>
        <w:ind w:firstLine="420" w:firstLineChars="200"/>
        <w:rPr>
          <w:rFonts w:hint="eastAsia" w:hAnsi="宋体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hAnsi="宋体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掌握传统家具设计的要点及要求</w:t>
      </w:r>
    </w:p>
    <w:p>
      <w:pPr>
        <w:pStyle w:val="3"/>
        <w:numPr>
          <w:ilvl w:val="0"/>
          <w:numId w:val="2"/>
        </w:numPr>
        <w:spacing w:before="156" w:beforeLines="50" w:after="156" w:afterLines="50"/>
        <w:ind w:left="0" w:leftChars="0" w:firstLine="420" w:firstLineChars="200"/>
        <w:rPr>
          <w:rFonts w:hint="default" w:hAnsi="宋体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hAnsi="宋体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把握传统家具设计的方法和步骤</w:t>
      </w:r>
    </w:p>
    <w:p>
      <w:pPr>
        <w:pStyle w:val="3"/>
        <w:numPr>
          <w:ilvl w:val="0"/>
          <w:numId w:val="2"/>
        </w:numPr>
        <w:spacing w:before="156" w:beforeLines="50" w:after="156" w:afterLines="50"/>
        <w:ind w:left="0" w:leftChars="0" w:firstLine="420" w:firstLineChars="200"/>
        <w:rPr>
          <w:rFonts w:hint="default" w:hAnsi="宋体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hAnsi="宋体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学习传统家具设计的基本功能组织方法</w:t>
      </w: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3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47"/>
        <w:gridCol w:w="1559"/>
        <w:gridCol w:w="4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3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48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3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分析问题</w:t>
            </w:r>
          </w:p>
        </w:tc>
        <w:tc>
          <w:tcPr>
            <w:tcW w:w="48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int="eastAsia" w:hAnsi="宋体"/>
                <w:szCs w:val="21"/>
              </w:rPr>
              <w:t>建筑设计原理及创作能力体系；</w:t>
            </w:r>
            <w:r>
              <w:rPr>
                <w:rFonts w:hint="eastAsia" w:hAnsi="宋体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int="eastAsia" w:hAnsi="宋体"/>
                <w:spacing w:val="-2"/>
                <w:szCs w:val="21"/>
              </w:rPr>
              <w:t>建筑学研究及表达能力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研究过程</w:t>
            </w:r>
          </w:p>
        </w:tc>
        <w:tc>
          <w:tcPr>
            <w:tcW w:w="48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int="eastAsia" w:hAnsi="宋体"/>
                <w:szCs w:val="21"/>
              </w:rPr>
              <w:t>建筑设计原理及创作能力体系；</w:t>
            </w:r>
            <w:r>
              <w:rPr>
                <w:rFonts w:hint="eastAsia" w:hAnsi="宋体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int="eastAsia" w:hAnsi="宋体"/>
                <w:spacing w:val="-2"/>
                <w:szCs w:val="21"/>
              </w:rPr>
              <w:t>建筑学研究及表达能力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1.3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信息聚集、收藏、选择</w:t>
            </w:r>
          </w:p>
        </w:tc>
        <w:tc>
          <w:tcPr>
            <w:tcW w:w="48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int="eastAsia" w:hAnsi="宋体"/>
                <w:szCs w:val="21"/>
              </w:rPr>
              <w:t>建筑设计原理及创作能力体系；</w:t>
            </w:r>
            <w:r>
              <w:rPr>
                <w:rFonts w:hint="eastAsia" w:hAnsi="宋体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int="eastAsia" w:hAnsi="宋体"/>
                <w:spacing w:val="-2"/>
                <w:szCs w:val="21"/>
              </w:rPr>
              <w:t>建筑学研究及表达能力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  <w:highlight w:val="none"/>
              </w:rPr>
            </w:pPr>
            <w:r>
              <w:rPr>
                <w:rFonts w:hint="eastAsia" w:hAnsi="宋体" w:cs="宋体"/>
                <w:szCs w:val="21"/>
                <w:highlight w:val="none"/>
              </w:rPr>
              <w:t>课程目标2</w:t>
            </w:r>
          </w:p>
        </w:tc>
        <w:tc>
          <w:tcPr>
            <w:tcW w:w="13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highlight w:val="none"/>
              </w:rPr>
            </w:pPr>
            <w:r>
              <w:rPr>
                <w:rFonts w:hint="eastAsia" w:hAnsi="宋体" w:cs="宋体"/>
                <w:highlight w:val="none"/>
              </w:rPr>
              <w:t>2.1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highlight w:val="none"/>
                <w:lang w:val="en-US" w:eastAsia="zh-CN"/>
              </w:rPr>
              <w:t>发展，发展多条设计思路</w:t>
            </w:r>
          </w:p>
        </w:tc>
        <w:tc>
          <w:tcPr>
            <w:tcW w:w="485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宋体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毕业要求</w: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t>2：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建筑设计原理及创作能力体系；</w:t>
            </w:r>
            <w:r>
              <w:rPr>
                <w:rFonts w:hint="eastAsia" w:ascii="宋体" w:hAnsi="宋体" w:eastAsia="宋体" w:cs="Times New Roman"/>
                <w:spacing w:val="-2"/>
                <w:szCs w:val="21"/>
                <w:highlight w:val="none"/>
              </w:rPr>
              <w:t>毕业要求</w:t>
            </w:r>
            <w:r>
              <w:rPr>
                <w:rFonts w:ascii="宋体" w:hAnsi="宋体" w:eastAsia="宋体" w:cs="Times New Roman"/>
                <w:spacing w:val="-2"/>
                <w:szCs w:val="21"/>
                <w:highlight w:val="none"/>
              </w:rPr>
              <w:t>3：</w:t>
            </w:r>
            <w:r>
              <w:rPr>
                <w:rFonts w:hint="eastAsia" w:ascii="宋体" w:hAnsi="宋体" w:eastAsia="宋体" w:cs="Times New Roman"/>
                <w:spacing w:val="-2"/>
                <w:szCs w:val="21"/>
                <w:highlight w:val="none"/>
              </w:rPr>
              <w:t>建筑学研究及表达能力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  <w:highlight w:val="none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highlight w:val="none"/>
              </w:rPr>
            </w:pPr>
            <w:r>
              <w:rPr>
                <w:rFonts w:hint="eastAsia" w:hAnsi="宋体" w:cs="宋体"/>
                <w:highlight w:val="none"/>
              </w:rPr>
              <w:t>2.2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黑体" w:hAnsi="宋体"/>
                <w:b/>
                <w:bCs/>
                <w:szCs w:val="21"/>
                <w:highlight w:val="none"/>
                <w:lang w:val="en-US"/>
              </w:rPr>
            </w:pPr>
            <w:r>
              <w:rPr>
                <w:rFonts w:hint="eastAsia" w:hAnsi="宋体" w:cs="宋体"/>
                <w:highlight w:val="none"/>
                <w:lang w:val="en-US" w:eastAsia="zh-CN"/>
              </w:rPr>
              <w:t>核对，目标控制</w:t>
            </w:r>
          </w:p>
        </w:tc>
        <w:tc>
          <w:tcPr>
            <w:tcW w:w="485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宋体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毕业要求</w: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t>2：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建筑设计原理及创作能力体系；</w:t>
            </w:r>
            <w:r>
              <w:rPr>
                <w:rFonts w:hint="eastAsia" w:ascii="宋体" w:hAnsi="宋体" w:eastAsia="宋体" w:cs="Times New Roman"/>
                <w:spacing w:val="-2"/>
                <w:szCs w:val="21"/>
                <w:highlight w:val="none"/>
              </w:rPr>
              <w:t>毕业要求</w:t>
            </w:r>
            <w:r>
              <w:rPr>
                <w:rFonts w:ascii="宋体" w:hAnsi="宋体" w:eastAsia="宋体" w:cs="Times New Roman"/>
                <w:spacing w:val="-2"/>
                <w:szCs w:val="21"/>
                <w:highlight w:val="none"/>
              </w:rPr>
              <w:t>3：</w:t>
            </w:r>
            <w:r>
              <w:rPr>
                <w:rFonts w:hint="eastAsia" w:ascii="宋体" w:hAnsi="宋体" w:eastAsia="宋体" w:cs="Times New Roman"/>
                <w:spacing w:val="-2"/>
                <w:szCs w:val="21"/>
                <w:highlight w:val="none"/>
              </w:rPr>
              <w:t>建筑学研究及表达能力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  <w:highlight w:val="none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highlight w:val="none"/>
              </w:rPr>
            </w:pPr>
            <w:r>
              <w:rPr>
                <w:rFonts w:hint="eastAsia" w:hAnsi="宋体" w:cs="宋体"/>
                <w:highlight w:val="none"/>
              </w:rPr>
              <w:t>2.3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highlight w:val="none"/>
                <w:lang w:val="en-US" w:eastAsia="zh-CN"/>
              </w:rPr>
              <w:t>循环交替出现在创新过程中</w:t>
            </w:r>
          </w:p>
        </w:tc>
        <w:tc>
          <w:tcPr>
            <w:tcW w:w="485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宋体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毕业要求</w: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t>2：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建筑设计原理及创作能力体系；</w:t>
            </w:r>
            <w:r>
              <w:rPr>
                <w:rFonts w:hint="eastAsia" w:ascii="宋体" w:hAnsi="宋体" w:eastAsia="宋体" w:cs="Times New Roman"/>
                <w:spacing w:val="-2"/>
                <w:szCs w:val="21"/>
                <w:highlight w:val="none"/>
              </w:rPr>
              <w:t>毕业要求</w:t>
            </w:r>
            <w:r>
              <w:rPr>
                <w:rFonts w:ascii="宋体" w:hAnsi="宋体" w:eastAsia="宋体" w:cs="Times New Roman"/>
                <w:spacing w:val="-2"/>
                <w:szCs w:val="21"/>
                <w:highlight w:val="none"/>
              </w:rPr>
              <w:t>3：</w:t>
            </w:r>
            <w:r>
              <w:rPr>
                <w:rFonts w:hint="eastAsia" w:ascii="宋体" w:hAnsi="宋体" w:eastAsia="宋体" w:cs="Times New Roman"/>
                <w:spacing w:val="-2"/>
                <w:szCs w:val="21"/>
                <w:highlight w:val="none"/>
              </w:rPr>
              <w:t>建筑学研究及表达能力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</w:p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宋体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传统家具设计的知识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有基本的了解，</w:t>
      </w:r>
      <w:r>
        <w:rPr>
          <w:rFonts w:hint="eastAsia" w:ascii="宋体" w:hAnsi="宋体" w:eastAsia="宋体" w:cs="宋体"/>
        </w:rPr>
        <w:t>掌握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正确的设计流程</w:t>
      </w:r>
      <w:r>
        <w:rPr>
          <w:rFonts w:hint="eastAsia" w:ascii="宋体" w:hAnsi="宋体" w:eastAsia="宋体" w:cs="宋体"/>
        </w:rPr>
        <w:t>，完成</w:t>
      </w:r>
      <w:r>
        <w:rPr>
          <w:rFonts w:hint="eastAsia" w:ascii="宋体" w:hAnsi="宋体" w:eastAsia="宋体" w:cs="宋体"/>
          <w:lang w:val="en-US" w:eastAsia="zh-CN"/>
        </w:rPr>
        <w:t>课后作业及最终成果。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宋体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（1）运用调查和自身的生活经历，分析家具设计中的人的行为活动规律和要求，熟悉人的基本尺度要求，了解环境和结构等基本知识，使之有效地运用于日常生活之中。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（2）学习理解家具设计的基本功能的组织方法，满足生活的基本功能要求，让生活之人生活的更方便和舒适。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宋体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1. 掌握传统家具设计的原则及其内涵，掌握家具设计的步骤及其内容。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2. 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通过品味自身的生活活动场景，学习解构与重构的基本方法，掌握解构与重构在功能、结构、形式、材料、空间等各方面的特点和要求。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3. 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 xml:space="preserve">解读世界上有名的家具实例和方案，分析其特点，学习优秀大师的设计手法和对设计的思考方式, 设计出方便适用，富有个性和美观的家具。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4. 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结合已有的学习过程和积累，依据有益地释放，检验先前知识的掌握程度。把握设计的过程和工作步骤，根据设计进度和设计意图，准确地进行图面表现。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宋体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集中讲授法+案例教学法+讨论法+个别辅导法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</w:p>
    <w:p>
      <w:pPr>
        <w:widowControl/>
        <w:spacing w:before="156" w:beforeLines="50" w:after="156" w:afterLines="5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4567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4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4567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集中授课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4567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课堂教学环节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4567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课堂教学环节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4567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课堂教学环节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4567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课堂教学环节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4567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课堂教学环节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七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4567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课堂教学环节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4567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课堂教学环节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</w:tbl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b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32"/>
        <w:gridCol w:w="1502"/>
        <w:gridCol w:w="2750"/>
        <w:gridCol w:w="683"/>
        <w:gridCol w:w="1665"/>
        <w:gridCol w:w="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次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传统家具设计理论</w:t>
            </w:r>
          </w:p>
        </w:tc>
        <w:tc>
          <w:tcPr>
            <w:tcW w:w="275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理论知识及设计任务讲解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进行场地分析和</w:t>
            </w:r>
            <w:r>
              <w:rPr>
                <w:rFonts w:hint="eastAsia"/>
                <w:color w:val="000000"/>
                <w:sz w:val="21"/>
                <w:szCs w:val="21"/>
              </w:rPr>
              <w:t>收集资料等</w:t>
            </w:r>
          </w:p>
        </w:tc>
        <w:tc>
          <w:tcPr>
            <w:tcW w:w="6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理论知识预习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传统家具设计的内容、方法步骤</w:t>
            </w:r>
          </w:p>
        </w:tc>
        <w:tc>
          <w:tcPr>
            <w:tcW w:w="27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一草过程、绘制一草、教师指导</w:t>
            </w:r>
          </w:p>
        </w:tc>
        <w:tc>
          <w:tcPr>
            <w:tcW w:w="6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before="156" w:beforeLines="50" w:after="156" w:afterLines="50"/>
              <w:ind w:firstLine="210" w:firstLineChars="10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绘制一草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传统家具</w:t>
            </w:r>
            <w:r>
              <w:rPr>
                <w:rFonts w:hint="eastAsia" w:ascii="宋体" w:hAnsi="宋体"/>
                <w:szCs w:val="21"/>
              </w:rPr>
              <w:t>设计依据、特点</w:t>
            </w:r>
          </w:p>
        </w:tc>
        <w:tc>
          <w:tcPr>
            <w:tcW w:w="27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一草过程、绘制一草、教师指导</w:t>
            </w:r>
          </w:p>
        </w:tc>
        <w:tc>
          <w:tcPr>
            <w:tcW w:w="6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绘制一草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传统家具设计的功能</w:t>
            </w:r>
          </w:p>
        </w:tc>
        <w:tc>
          <w:tcPr>
            <w:tcW w:w="27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二草过程、绘制二草、教师指导</w:t>
            </w:r>
          </w:p>
        </w:tc>
        <w:tc>
          <w:tcPr>
            <w:tcW w:w="6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绘制二草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传统家具设计的材质</w:t>
            </w:r>
          </w:p>
        </w:tc>
        <w:tc>
          <w:tcPr>
            <w:tcW w:w="27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二草过程、绘制二草、教师指导</w:t>
            </w:r>
          </w:p>
        </w:tc>
        <w:tc>
          <w:tcPr>
            <w:tcW w:w="6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绘制二草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传统家具</w:t>
            </w:r>
            <w:r>
              <w:rPr>
                <w:rFonts w:hint="eastAsia" w:ascii="宋体" w:hAnsi="宋体"/>
                <w:szCs w:val="21"/>
              </w:rPr>
              <w:t>色彩与材料质地</w:t>
            </w:r>
          </w:p>
        </w:tc>
        <w:tc>
          <w:tcPr>
            <w:tcW w:w="27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正草过程、绘制正草、教师指导</w:t>
            </w:r>
          </w:p>
        </w:tc>
        <w:tc>
          <w:tcPr>
            <w:tcW w:w="6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绘制正草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传统</w:t>
            </w:r>
            <w:r>
              <w:rPr>
                <w:rFonts w:hint="eastAsia" w:ascii="宋体" w:hAnsi="宋体"/>
                <w:szCs w:val="21"/>
              </w:rPr>
              <w:t>室内家具陈设</w:t>
            </w:r>
          </w:p>
        </w:tc>
        <w:tc>
          <w:tcPr>
            <w:tcW w:w="27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绘制正图和正模、教师指导</w:t>
            </w:r>
          </w:p>
        </w:tc>
        <w:tc>
          <w:tcPr>
            <w:tcW w:w="6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绘制正图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人体工程学</w:t>
            </w:r>
          </w:p>
        </w:tc>
        <w:tc>
          <w:tcPr>
            <w:tcW w:w="27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绘制正图和正模、教师指导</w:t>
            </w:r>
          </w:p>
        </w:tc>
        <w:tc>
          <w:tcPr>
            <w:tcW w:w="6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绘制正图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jc w:val="both"/>
        <w:rPr>
          <w:rFonts w:hint="eastAsia" w:ascii="宋体" w:hAnsi="宋体" w:eastAsia="宋体"/>
          <w:b w:val="0"/>
          <w:bCs/>
          <w:szCs w:val="21"/>
        </w:rPr>
      </w:pP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b w:val="0"/>
          <w:bCs/>
          <w:szCs w:val="21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1.</w:t>
      </w:r>
      <w:r>
        <w:rPr>
          <w:rFonts w:hint="eastAsia" w:ascii="宋体" w:hAnsi="宋体" w:eastAsia="宋体"/>
          <w:lang w:val="zh-CN" w:eastAsia="zh-CN"/>
        </w:rPr>
        <w:t>《室内色彩、家具与陈设设计（第2版）》作者:文健 主编 出版社:北京交通大学出版社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2. 《</w:t>
      </w:r>
      <w:r>
        <w:rPr>
          <w:rFonts w:hint="eastAsia" w:ascii="宋体" w:hAnsi="宋体" w:eastAsia="宋体"/>
          <w:lang w:eastAsia="zh-CN"/>
        </w:rPr>
        <w:fldChar w:fldCharType="begin"/>
      </w:r>
      <w:r>
        <w:rPr>
          <w:rFonts w:hint="eastAsia" w:ascii="宋体" w:hAnsi="宋体" w:eastAsia="宋体"/>
          <w:lang w:eastAsia="zh-CN"/>
        </w:rPr>
        <w:instrText xml:space="preserve"> HYPERLINK "http://product.dangdang.com/22864086.html" \t "_blank" \o " 普通高等教育" </w:instrText>
      </w:r>
      <w:r>
        <w:rPr>
          <w:rFonts w:hint="eastAsia" w:ascii="宋体" w:hAnsi="宋体" w:eastAsia="宋体"/>
          <w:lang w:eastAsia="zh-CN"/>
        </w:rPr>
        <w:fldChar w:fldCharType="separate"/>
      </w:r>
      <w:r>
        <w:rPr>
          <w:rFonts w:hint="eastAsia" w:ascii="宋体" w:hAnsi="宋体" w:eastAsia="宋体"/>
          <w:lang w:eastAsia="zh-CN"/>
        </w:rPr>
        <w:t>普通高等教育“十二五”规划教材 家具设计与陈设（第二版）</w:t>
      </w:r>
      <w:r>
        <w:rPr>
          <w:rFonts w:hint="eastAsia" w:ascii="宋体" w:hAnsi="宋体" w:eastAsia="宋体"/>
          <w:lang w:eastAsia="zh-CN"/>
        </w:rPr>
        <w:fldChar w:fldCharType="end"/>
      </w:r>
      <w:r>
        <w:rPr>
          <w:rFonts w:hint="eastAsia" w:ascii="宋体" w:hAnsi="宋体" w:eastAsia="宋体"/>
          <w:lang w:eastAsia="zh-CN"/>
        </w:rPr>
        <w:t>》作者:胡天君，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周曙光 编著 出版社:中国电力出版社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bookmarkStart w:id="0" w:name="_Hlt324165855"/>
      <w:r>
        <w:rPr>
          <w:rFonts w:hint="eastAsia" w:ascii="宋体" w:hAnsi="宋体" w:eastAsia="宋体"/>
          <w:lang w:eastAsia="zh-CN"/>
        </w:rPr>
        <w:t>3.</w:t>
      </w:r>
      <w:bookmarkEnd w:id="0"/>
      <w:r>
        <w:rPr>
          <w:rFonts w:hint="eastAsia" w:ascii="宋体" w:hAnsi="宋体" w:eastAsia="宋体"/>
          <w:lang w:eastAsia="zh-CN"/>
        </w:rPr>
        <w:t>《家具设计与陈设》  作者:朱丹 ,郭玉良, 高海东 著 出版社:中国电力出版社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1．集中讲授法（集中授课环节，布置任务书）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2．案例教学法（集中授课环节，讲述优秀设计案例。）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3. 讨论法（小组汇报，讨论学生设计方案，集中点评）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4. 个别辅导法（主要工作方法，针对</w:t>
      </w:r>
      <w:r>
        <w:rPr>
          <w:rFonts w:hint="eastAsia" w:ascii="宋体" w:hAnsi="宋体" w:eastAsia="宋体"/>
          <w:lang w:val="en-US" w:eastAsia="zh-CN"/>
        </w:rPr>
        <w:t>平时作业</w:t>
      </w:r>
      <w:r>
        <w:rPr>
          <w:rFonts w:hint="eastAsia" w:ascii="宋体" w:hAnsi="宋体" w:eastAsia="宋体"/>
        </w:rPr>
        <w:t>，根据每个同学特点和进度进行辅导）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8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4440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444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47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444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传统家具设计知识的掌握</w:t>
            </w:r>
          </w:p>
        </w:tc>
        <w:tc>
          <w:tcPr>
            <w:tcW w:w="247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过程性考核、期末考核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由本课程根据设计进程分成不同阶段，各阶段进行考核，最终经综合加权评定而成。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课程设计成绩评定：本课程设计总评成绩由平时成绩和期末成绩按照一定比例汇总而成。平时成绩由课题的每阶段草图评分等组成，占总评成绩的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0%；期末成绩由课题的最终成果分加权而成，占总评成绩的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0%。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迟交情况处理：除由学校开具的证明，不问任何理由均认为是迟交，迟交在6小时内，算1个基点，扣除作业分数的5分（%分数时），6小时以上，算2个基点，作业分数的10分，以此类推进行必要的惩罚。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8"/>
        <w:tblW w:w="6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分目标达成度={0.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4×平时</w:t>
            </w:r>
            <w:r>
              <w:rPr>
                <w:rFonts w:ascii="宋体" w:hAnsi="宋体" w:eastAsia="宋体"/>
                <w:kern w:val="0"/>
                <w:szCs w:val="21"/>
              </w:rPr>
              <w:t>分目标成绩+0.6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×</w:t>
            </w:r>
            <w:r>
              <w:rPr>
                <w:rFonts w:ascii="宋体" w:hAnsi="宋体" w:eastAsia="宋体"/>
                <w:kern w:val="0"/>
                <w:szCs w:val="21"/>
              </w:rPr>
              <w:t>期末分目标成绩 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8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88"/>
        <w:gridCol w:w="1880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作业完成度较好，平时作业</w:t>
            </w:r>
            <w:r>
              <w:rPr>
                <w:rFonts w:hint="eastAsia" w:ascii="宋体" w:hAnsi="宋体" w:eastAsia="宋体"/>
                <w:szCs w:val="21"/>
              </w:rPr>
              <w:t>表达出色；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了解室内设计方法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期末成绩优异。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作业完成</w:t>
            </w:r>
            <w:r>
              <w:rPr>
                <w:rFonts w:hint="eastAsia" w:ascii="宋体" w:hAnsi="宋体" w:eastAsia="宋体"/>
                <w:szCs w:val="21"/>
              </w:rPr>
              <w:t>较好，符合要求；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过程性考核及期末考核符合要求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作业完成</w:t>
            </w:r>
            <w:r>
              <w:rPr>
                <w:rFonts w:hint="eastAsia" w:ascii="宋体" w:hAnsi="宋体" w:eastAsia="宋体"/>
                <w:szCs w:val="21"/>
              </w:rPr>
              <w:t>一般，符合要求；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过程性考核及期末考核一般符合要求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</w:rPr>
              <w:t>能按时提交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平时作业完成</w:t>
            </w:r>
            <w:r>
              <w:rPr>
                <w:rFonts w:hint="eastAsia" w:ascii="宋体" w:hAnsi="宋体" w:eastAsia="宋体"/>
                <w:szCs w:val="21"/>
              </w:rPr>
              <w:t>基本合理，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期末成绩达到基本要求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不能按时提交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平时作业完成</w:t>
            </w:r>
            <w:r>
              <w:rPr>
                <w:rFonts w:hint="eastAsia" w:ascii="宋体" w:hAnsi="宋体" w:eastAsia="宋体"/>
                <w:szCs w:val="21"/>
              </w:rPr>
              <w:t>问题很大，过程学习缺失较多，未能达到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期末考核</w:t>
            </w:r>
            <w:r>
              <w:rPr>
                <w:rFonts w:hint="eastAsia" w:ascii="宋体" w:hAnsi="宋体" w:eastAsia="宋体"/>
                <w:szCs w:val="21"/>
              </w:rPr>
              <w:t>基本要求。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56" w:beforeLines="50" w:after="156" w:afterLines="50"/>
              <w:rPr>
                <w:rFonts w:hint="eastAsia" w:hAnsi="宋体"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作业完成度较好，平时作业表达出色；了解室内设计方法、步骤；期末成绩优异。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作业完成较好，符合要求；过程性考核及期末考核符合要求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作业完成一般，符合要求；过程性考核及期末考核一般符合要求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</w:rPr>
              <w:t>能按时提交</w:t>
            </w:r>
            <w:r>
              <w:rPr>
                <w:rFonts w:hint="eastAsia" w:hAnsi="宋体" w:cs="宋体"/>
                <w:lang w:val="en-US" w:eastAsia="zh-CN"/>
              </w:rPr>
              <w:t>作业</w:t>
            </w:r>
            <w:r>
              <w:rPr>
                <w:rFonts w:hint="eastAsia" w:hAnsi="宋体" w:cs="宋体"/>
              </w:rPr>
              <w:t>；</w:t>
            </w:r>
            <w:r>
              <w:rPr>
                <w:rFonts w:hint="eastAsia" w:hAnsi="宋体" w:cs="宋体"/>
                <w:lang w:val="en-US" w:eastAsia="zh-CN"/>
              </w:rPr>
              <w:t>平时作业完成</w:t>
            </w:r>
            <w:r>
              <w:rPr>
                <w:rFonts w:hint="eastAsia" w:hAnsi="宋体" w:cs="宋体"/>
              </w:rPr>
              <w:t>基本合理，</w:t>
            </w:r>
            <w:r>
              <w:rPr>
                <w:rFonts w:hint="eastAsia" w:hAnsi="宋体" w:cs="宋体"/>
                <w:lang w:val="en-US" w:eastAsia="zh-CN"/>
              </w:rPr>
              <w:t>期末成绩达到基本要求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</w:rPr>
              <w:t>不能按时提交</w:t>
            </w:r>
            <w:r>
              <w:rPr>
                <w:rFonts w:hint="eastAsia" w:hAnsi="宋体" w:cs="宋体"/>
                <w:lang w:val="en-US" w:eastAsia="zh-CN"/>
              </w:rPr>
              <w:t>作业</w:t>
            </w:r>
            <w:r>
              <w:rPr>
                <w:rFonts w:hint="eastAsia" w:hAnsi="宋体" w:cs="宋体"/>
              </w:rPr>
              <w:t>；</w:t>
            </w:r>
            <w:r>
              <w:rPr>
                <w:rFonts w:hint="eastAsia" w:hAnsi="宋体" w:cs="宋体"/>
                <w:lang w:val="en-US" w:eastAsia="zh-CN"/>
              </w:rPr>
              <w:t>平时作业完成</w:t>
            </w:r>
            <w:r>
              <w:rPr>
                <w:rFonts w:hint="eastAsia" w:hAnsi="宋体" w:cs="宋体"/>
              </w:rPr>
              <w:t>问题很大，过程学习缺失较多，未能达到</w:t>
            </w:r>
            <w:r>
              <w:rPr>
                <w:rFonts w:hint="eastAsia" w:hAnsi="宋体" w:cs="宋体"/>
                <w:lang w:val="en-US" w:eastAsia="zh-CN"/>
              </w:rPr>
              <w:t>期末考核</w:t>
            </w:r>
            <w:r>
              <w:rPr>
                <w:rFonts w:hint="eastAsia" w:hAnsi="宋体" w:cs="宋体"/>
              </w:rPr>
              <w:t>基本要求。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3188B"/>
    <w:multiLevelType w:val="singleLevel"/>
    <w:tmpl w:val="3D3318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3828063"/>
    <w:multiLevelType w:val="singleLevel"/>
    <w:tmpl w:val="5382806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MzI2N2M4NTIxMTI4ZjJiZDczNTViNDg0YTIwNTMifQ=="/>
  </w:docVars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1228F"/>
    <w:rsid w:val="00F13A9E"/>
    <w:rsid w:val="00F56396"/>
    <w:rsid w:val="00FB77A1"/>
    <w:rsid w:val="00FC24B5"/>
    <w:rsid w:val="01A0144C"/>
    <w:rsid w:val="01E50511"/>
    <w:rsid w:val="03A7224C"/>
    <w:rsid w:val="040667E4"/>
    <w:rsid w:val="049C1070"/>
    <w:rsid w:val="059D43BE"/>
    <w:rsid w:val="061B210D"/>
    <w:rsid w:val="06F07DC7"/>
    <w:rsid w:val="07FD578A"/>
    <w:rsid w:val="08ED3282"/>
    <w:rsid w:val="091352A7"/>
    <w:rsid w:val="091A325B"/>
    <w:rsid w:val="09433774"/>
    <w:rsid w:val="09901CE5"/>
    <w:rsid w:val="0B6D3816"/>
    <w:rsid w:val="0B831A45"/>
    <w:rsid w:val="0B8611D7"/>
    <w:rsid w:val="0B9974B0"/>
    <w:rsid w:val="0E642E54"/>
    <w:rsid w:val="0FB56019"/>
    <w:rsid w:val="109021FA"/>
    <w:rsid w:val="12C060AE"/>
    <w:rsid w:val="149B792F"/>
    <w:rsid w:val="15F25B77"/>
    <w:rsid w:val="16351173"/>
    <w:rsid w:val="168A54E7"/>
    <w:rsid w:val="16A3679F"/>
    <w:rsid w:val="17D17C81"/>
    <w:rsid w:val="189F35B2"/>
    <w:rsid w:val="19AD6BFB"/>
    <w:rsid w:val="1A9D0910"/>
    <w:rsid w:val="1E6650E9"/>
    <w:rsid w:val="1E935967"/>
    <w:rsid w:val="1EC10527"/>
    <w:rsid w:val="205C08C6"/>
    <w:rsid w:val="20A63420"/>
    <w:rsid w:val="22D072EC"/>
    <w:rsid w:val="22E951BC"/>
    <w:rsid w:val="231E10B1"/>
    <w:rsid w:val="23846E58"/>
    <w:rsid w:val="24661753"/>
    <w:rsid w:val="26BB17AC"/>
    <w:rsid w:val="278A15C0"/>
    <w:rsid w:val="27FC09A2"/>
    <w:rsid w:val="28586B79"/>
    <w:rsid w:val="29152947"/>
    <w:rsid w:val="293251BB"/>
    <w:rsid w:val="293D4E17"/>
    <w:rsid w:val="295C76F6"/>
    <w:rsid w:val="2A7D4187"/>
    <w:rsid w:val="2C3262F8"/>
    <w:rsid w:val="2D423925"/>
    <w:rsid w:val="2DB67E53"/>
    <w:rsid w:val="2DC636DB"/>
    <w:rsid w:val="2E2E7161"/>
    <w:rsid w:val="2E8960B6"/>
    <w:rsid w:val="2F1B61CE"/>
    <w:rsid w:val="2FC830E5"/>
    <w:rsid w:val="325814B0"/>
    <w:rsid w:val="333B762C"/>
    <w:rsid w:val="33A10BF1"/>
    <w:rsid w:val="34BA7A06"/>
    <w:rsid w:val="35EA769B"/>
    <w:rsid w:val="37712C84"/>
    <w:rsid w:val="38B224F7"/>
    <w:rsid w:val="39E80B0F"/>
    <w:rsid w:val="3B990911"/>
    <w:rsid w:val="3C920F8B"/>
    <w:rsid w:val="3D4918AD"/>
    <w:rsid w:val="3E4F4AF7"/>
    <w:rsid w:val="3EC00D7C"/>
    <w:rsid w:val="404C7E48"/>
    <w:rsid w:val="42215745"/>
    <w:rsid w:val="42274EA6"/>
    <w:rsid w:val="422A4F04"/>
    <w:rsid w:val="428A12D1"/>
    <w:rsid w:val="447A07F2"/>
    <w:rsid w:val="44D36966"/>
    <w:rsid w:val="47276BE9"/>
    <w:rsid w:val="4752689A"/>
    <w:rsid w:val="4783295B"/>
    <w:rsid w:val="479A0799"/>
    <w:rsid w:val="48AE6097"/>
    <w:rsid w:val="4A721999"/>
    <w:rsid w:val="4C76606C"/>
    <w:rsid w:val="4D1071B1"/>
    <w:rsid w:val="4EAF1A24"/>
    <w:rsid w:val="4F9B015E"/>
    <w:rsid w:val="517443B3"/>
    <w:rsid w:val="52CF79E9"/>
    <w:rsid w:val="536C3995"/>
    <w:rsid w:val="54F0368C"/>
    <w:rsid w:val="5529565A"/>
    <w:rsid w:val="589100FF"/>
    <w:rsid w:val="5B166CD2"/>
    <w:rsid w:val="5BF00044"/>
    <w:rsid w:val="5CA14A80"/>
    <w:rsid w:val="5D1F4E2E"/>
    <w:rsid w:val="5DC527EE"/>
    <w:rsid w:val="5E6C303D"/>
    <w:rsid w:val="60017182"/>
    <w:rsid w:val="60190216"/>
    <w:rsid w:val="60681AA9"/>
    <w:rsid w:val="60777A02"/>
    <w:rsid w:val="60993C04"/>
    <w:rsid w:val="60E431E5"/>
    <w:rsid w:val="61160744"/>
    <w:rsid w:val="62BB62BF"/>
    <w:rsid w:val="63DB5A7C"/>
    <w:rsid w:val="65FB6DCD"/>
    <w:rsid w:val="664432DA"/>
    <w:rsid w:val="67747EE4"/>
    <w:rsid w:val="6AF61994"/>
    <w:rsid w:val="6B0937A1"/>
    <w:rsid w:val="6B335D3F"/>
    <w:rsid w:val="6B3B4A3F"/>
    <w:rsid w:val="6C3F596A"/>
    <w:rsid w:val="6CBC250D"/>
    <w:rsid w:val="6D7B5F9A"/>
    <w:rsid w:val="717453EA"/>
    <w:rsid w:val="743D6B1C"/>
    <w:rsid w:val="754C44BE"/>
    <w:rsid w:val="7596001A"/>
    <w:rsid w:val="75E74AA4"/>
    <w:rsid w:val="7719322C"/>
    <w:rsid w:val="778E6BA8"/>
    <w:rsid w:val="77AA5751"/>
    <w:rsid w:val="786133AE"/>
    <w:rsid w:val="78AA36A0"/>
    <w:rsid w:val="78FF34FD"/>
    <w:rsid w:val="7A244E0F"/>
    <w:rsid w:val="7BA268EC"/>
    <w:rsid w:val="7D412644"/>
    <w:rsid w:val="7F31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纯文本 字符"/>
    <w:basedOn w:val="10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2420</Words>
  <Characters>2526</Characters>
  <Lines>13</Lines>
  <Paragraphs>3</Paragraphs>
  <TotalTime>0</TotalTime>
  <ScaleCrop>false</ScaleCrop>
  <LinksUpToDate>false</LinksUpToDate>
  <CharactersWithSpaces>2589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천 모</cp:lastModifiedBy>
  <cp:lastPrinted>2020-12-24T07:17:00Z</cp:lastPrinted>
  <dcterms:modified xsi:type="dcterms:W3CDTF">2023-05-16T04:57:01Z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81278DB141124218B37DF3E2ED5DADF3_13</vt:lpwstr>
  </property>
</Properties>
</file>